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AC" w:rsidRDefault="000E43CB">
      <w:pPr>
        <w:rPr>
          <w:b/>
        </w:rPr>
      </w:pPr>
      <w:r w:rsidRPr="00773C8B">
        <w:rPr>
          <w:b/>
        </w:rPr>
        <w:t>Task 1 summary</w:t>
      </w:r>
    </w:p>
    <w:p w:rsidR="00773C8B" w:rsidRPr="00773C8B" w:rsidRDefault="00BB66F0" w:rsidP="00773C8B">
      <w:pPr>
        <w:rPr>
          <w:b/>
        </w:rPr>
      </w:pPr>
      <w:r>
        <w:rPr>
          <w:b/>
          <w:bCs/>
        </w:rPr>
        <w:t>K</w:t>
      </w:r>
      <w:r w:rsidR="00773C8B" w:rsidRPr="00773C8B">
        <w:rPr>
          <w:b/>
          <w:bCs/>
        </w:rPr>
        <w:t xml:space="preserve">ey expectations </w:t>
      </w:r>
    </w:p>
    <w:p w:rsidR="00773C8B" w:rsidRPr="00773C8B" w:rsidRDefault="00773C8B" w:rsidP="00BB66F0">
      <w:pPr>
        <w:pStyle w:val="ListParagraph"/>
        <w:numPr>
          <w:ilvl w:val="0"/>
          <w:numId w:val="4"/>
        </w:numPr>
      </w:pPr>
      <w:r w:rsidRPr="00BB66F0">
        <w:rPr>
          <w:bCs/>
        </w:rPr>
        <w:t>Building sustainable pathways and</w:t>
      </w:r>
      <w:r w:rsidRPr="006E0D0C">
        <w:rPr>
          <w:b/>
          <w:bCs/>
        </w:rPr>
        <w:t xml:space="preserve"> partnerships</w:t>
      </w:r>
    </w:p>
    <w:p w:rsidR="00773C8B" w:rsidRPr="00BB66F0" w:rsidRDefault="00773C8B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Developing a mutual understanding and expectations </w:t>
      </w:r>
      <w:r w:rsidRPr="006E0D0C">
        <w:rPr>
          <w:b/>
          <w:bCs/>
        </w:rPr>
        <w:t>across sectors</w:t>
      </w:r>
    </w:p>
    <w:p w:rsidR="00A84D9B" w:rsidRPr="00BB66F0" w:rsidRDefault="00A84D9B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>Finding out about what is happening nationally and the capacity of the system to deliver effective</w:t>
      </w:r>
      <w:r w:rsidRPr="006E0D0C">
        <w:rPr>
          <w:b/>
          <w:bCs/>
        </w:rPr>
        <w:t xml:space="preserve"> partnerships</w:t>
      </w:r>
    </w:p>
    <w:p w:rsidR="00A84D9B" w:rsidRPr="00BB66F0" w:rsidRDefault="00A84D9B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Finding out more about how the </w:t>
      </w:r>
      <w:r w:rsidRPr="006E0D0C">
        <w:rPr>
          <w:bCs/>
          <w:color w:val="FF0000"/>
        </w:rPr>
        <w:t>qualifications</w:t>
      </w:r>
      <w:r w:rsidRPr="00BB66F0">
        <w:rPr>
          <w:bCs/>
        </w:rPr>
        <w:t xml:space="preserve"> will reflect and articulate with the curriculum </w:t>
      </w:r>
    </w:p>
    <w:p w:rsidR="00A84D9B" w:rsidRPr="00BB66F0" w:rsidRDefault="00A84D9B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Cohesive provision 3-18, progression, continuity &amp; transitions for individual learners with an emphasis on a stronger skills based curriculum. </w:t>
      </w:r>
    </w:p>
    <w:p w:rsidR="00A84D9B" w:rsidRPr="00BB66F0" w:rsidRDefault="00A84D9B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Wider community where learning takes place and the range of opportunities available in the context of the senior phase – Opening up learning </w:t>
      </w:r>
    </w:p>
    <w:p w:rsidR="00000000" w:rsidRPr="00BB66F0" w:rsidRDefault="00B9384C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Discussion of how strategic Local Authority </w:t>
      </w:r>
      <w:r w:rsidRPr="006E0D0C">
        <w:rPr>
          <w:b/>
          <w:bCs/>
        </w:rPr>
        <w:t>partnerships</w:t>
      </w:r>
      <w:r w:rsidRPr="00BB66F0">
        <w:rPr>
          <w:bCs/>
        </w:rPr>
        <w:t xml:space="preserve"> might work to support delivery</w:t>
      </w:r>
    </w:p>
    <w:p w:rsidR="00000000" w:rsidRPr="00BB66F0" w:rsidRDefault="00B9384C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>Work to help schools and others work out what they need to be doing from now onwards</w:t>
      </w:r>
    </w:p>
    <w:p w:rsidR="00000000" w:rsidRPr="00BB66F0" w:rsidRDefault="00B9384C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Identifying solutions to developing </w:t>
      </w:r>
      <w:r w:rsidRPr="006E0D0C">
        <w:rPr>
          <w:bCs/>
          <w:color w:val="0070C0"/>
        </w:rPr>
        <w:t>cap</w:t>
      </w:r>
      <w:r w:rsidRPr="006E0D0C">
        <w:rPr>
          <w:bCs/>
          <w:color w:val="0070C0"/>
        </w:rPr>
        <w:t>acity</w:t>
      </w:r>
      <w:r w:rsidRPr="00BB66F0">
        <w:rPr>
          <w:bCs/>
        </w:rPr>
        <w:t xml:space="preserve"> to deliver in the current financial, political and accountability climate.</w:t>
      </w:r>
    </w:p>
    <w:p w:rsidR="00000000" w:rsidRPr="00BB66F0" w:rsidRDefault="00B9384C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How is success of the senior phase </w:t>
      </w:r>
      <w:proofErr w:type="gramStart"/>
      <w:r w:rsidRPr="00BB66F0">
        <w:rPr>
          <w:bCs/>
        </w:rPr>
        <w:t>measured.</w:t>
      </w:r>
      <w:proofErr w:type="gramEnd"/>
    </w:p>
    <w:p w:rsidR="00A84D9B" w:rsidRPr="00BB66F0" w:rsidRDefault="00A84D9B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>See a picture/view of what the senior phase could look like.</w:t>
      </w:r>
    </w:p>
    <w:p w:rsidR="00A84D9B" w:rsidRPr="00BB66F0" w:rsidRDefault="00A84D9B" w:rsidP="00BB66F0">
      <w:pPr>
        <w:pStyle w:val="ListParagraph"/>
        <w:numPr>
          <w:ilvl w:val="0"/>
          <w:numId w:val="4"/>
        </w:numPr>
        <w:rPr>
          <w:bCs/>
        </w:rPr>
      </w:pPr>
      <w:r w:rsidRPr="00BB66F0">
        <w:rPr>
          <w:bCs/>
        </w:rPr>
        <w:t xml:space="preserve">Agree a shared direction between </w:t>
      </w:r>
      <w:r w:rsidRPr="006E0D0C">
        <w:rPr>
          <w:b/>
          <w:bCs/>
        </w:rPr>
        <w:t>partners</w:t>
      </w:r>
      <w:r w:rsidRPr="00BB66F0">
        <w:rPr>
          <w:bCs/>
        </w:rPr>
        <w:t xml:space="preserve"> about how we get there.</w:t>
      </w:r>
    </w:p>
    <w:p w:rsidR="00773C8B" w:rsidRPr="00773C8B" w:rsidRDefault="00BB66F0" w:rsidP="00773C8B">
      <w:pPr>
        <w:rPr>
          <w:b/>
        </w:rPr>
      </w:pPr>
      <w:r>
        <w:rPr>
          <w:b/>
          <w:bCs/>
        </w:rPr>
        <w:t>K</w:t>
      </w:r>
      <w:r w:rsidR="00773C8B" w:rsidRPr="00773C8B">
        <w:rPr>
          <w:b/>
          <w:bCs/>
        </w:rPr>
        <w:t>ey desired outcomes</w:t>
      </w:r>
    </w:p>
    <w:p w:rsidR="00773C8B" w:rsidRPr="00773C8B" w:rsidRDefault="00773C8B" w:rsidP="00BB66F0">
      <w:pPr>
        <w:pStyle w:val="ListParagraph"/>
        <w:numPr>
          <w:ilvl w:val="0"/>
          <w:numId w:val="10"/>
        </w:numPr>
      </w:pPr>
      <w:r w:rsidRPr="00BB66F0">
        <w:rPr>
          <w:bCs/>
        </w:rPr>
        <w:t>Building on the good practice that already exists</w:t>
      </w:r>
    </w:p>
    <w:p w:rsidR="00A84D9B" w:rsidRPr="00BB66F0" w:rsidRDefault="00773C8B" w:rsidP="00BB66F0">
      <w:pPr>
        <w:pStyle w:val="ListParagraph"/>
        <w:numPr>
          <w:ilvl w:val="0"/>
          <w:numId w:val="10"/>
        </w:numPr>
        <w:rPr>
          <w:bCs/>
        </w:rPr>
      </w:pPr>
      <w:r w:rsidRPr="00BB66F0">
        <w:rPr>
          <w:bCs/>
        </w:rPr>
        <w:t>Thinking about and devising models for timetabling</w:t>
      </w:r>
    </w:p>
    <w:p w:rsidR="00A84D9B" w:rsidRPr="00BB66F0" w:rsidRDefault="00A84D9B" w:rsidP="00BB66F0">
      <w:pPr>
        <w:pStyle w:val="ListParagraph"/>
        <w:numPr>
          <w:ilvl w:val="0"/>
          <w:numId w:val="10"/>
        </w:numPr>
        <w:rPr>
          <w:bCs/>
        </w:rPr>
      </w:pPr>
      <w:r w:rsidRPr="00BB66F0">
        <w:rPr>
          <w:bCs/>
        </w:rPr>
        <w:t xml:space="preserve">Getting transformational </w:t>
      </w:r>
      <w:r w:rsidRPr="001E5FF6">
        <w:rPr>
          <w:b/>
          <w:bCs/>
          <w:color w:val="D99594" w:themeColor="accent2" w:themeTint="99"/>
        </w:rPr>
        <w:t>messages across</w:t>
      </w:r>
      <w:r w:rsidRPr="00BB66F0">
        <w:rPr>
          <w:bCs/>
        </w:rPr>
        <w:t xml:space="preserve"> about the potential of senior phase</w:t>
      </w:r>
    </w:p>
    <w:p w:rsidR="00773C8B" w:rsidRPr="00BB66F0" w:rsidRDefault="00A84D9B" w:rsidP="00BB66F0">
      <w:pPr>
        <w:pStyle w:val="ListParagraph"/>
        <w:numPr>
          <w:ilvl w:val="0"/>
          <w:numId w:val="10"/>
        </w:numPr>
        <w:rPr>
          <w:bCs/>
        </w:rPr>
      </w:pPr>
      <w:r w:rsidRPr="00BB66F0">
        <w:rPr>
          <w:bCs/>
        </w:rPr>
        <w:t>How to have learner achievements recognised and values</w:t>
      </w:r>
    </w:p>
    <w:p w:rsidR="00A84D9B" w:rsidRPr="00BB66F0" w:rsidRDefault="00A84D9B" w:rsidP="00BB66F0">
      <w:pPr>
        <w:pStyle w:val="ListParagraph"/>
        <w:numPr>
          <w:ilvl w:val="0"/>
          <w:numId w:val="10"/>
        </w:numPr>
        <w:rPr>
          <w:bCs/>
        </w:rPr>
      </w:pPr>
      <w:r w:rsidRPr="00BB66F0">
        <w:rPr>
          <w:bCs/>
        </w:rPr>
        <w:t>Curriculum design, flexible planning</w:t>
      </w:r>
      <w:r w:rsidRPr="001E5FF6">
        <w:rPr>
          <w:b/>
          <w:bCs/>
        </w:rPr>
        <w:t xml:space="preserve">, </w:t>
      </w:r>
      <w:r w:rsidRPr="001E5FF6">
        <w:rPr>
          <w:b/>
          <w:bCs/>
          <w:color w:val="FF0000"/>
        </w:rPr>
        <w:t>continuities of assessment</w:t>
      </w:r>
      <w:r w:rsidRPr="00BB66F0">
        <w:rPr>
          <w:bCs/>
        </w:rPr>
        <w:t xml:space="preserve"> and delivery applied to local situation and individual learners.  </w:t>
      </w:r>
    </w:p>
    <w:p w:rsidR="00A84D9B" w:rsidRPr="00BB66F0" w:rsidRDefault="00A84D9B" w:rsidP="00BB66F0">
      <w:pPr>
        <w:pStyle w:val="ListParagraph"/>
        <w:numPr>
          <w:ilvl w:val="0"/>
          <w:numId w:val="10"/>
        </w:numPr>
        <w:rPr>
          <w:bCs/>
        </w:rPr>
      </w:pPr>
      <w:r w:rsidRPr="00BB66F0">
        <w:rPr>
          <w:bCs/>
        </w:rPr>
        <w:t>Greater understanding and engagement of each other in</w:t>
      </w:r>
      <w:r w:rsidRPr="00D448C8">
        <w:rPr>
          <w:b/>
          <w:bCs/>
        </w:rPr>
        <w:t xml:space="preserve"> partnership </w:t>
      </w:r>
      <w:r w:rsidRPr="00BB66F0">
        <w:rPr>
          <w:bCs/>
        </w:rPr>
        <w:t xml:space="preserve">and implications for learners, centres and staff. </w:t>
      </w:r>
    </w:p>
    <w:p w:rsidR="00000000" w:rsidRPr="00A84D9B" w:rsidRDefault="00B9384C" w:rsidP="00BB66F0">
      <w:pPr>
        <w:pStyle w:val="ListParagraph"/>
        <w:numPr>
          <w:ilvl w:val="0"/>
          <w:numId w:val="10"/>
        </w:numPr>
        <w:rPr>
          <w:bCs/>
        </w:rPr>
      </w:pPr>
      <w:r w:rsidRPr="00A84D9B">
        <w:rPr>
          <w:bCs/>
        </w:rPr>
        <w:t xml:space="preserve">Strategic </w:t>
      </w:r>
      <w:r w:rsidRPr="00D448C8">
        <w:rPr>
          <w:b/>
          <w:bCs/>
        </w:rPr>
        <w:t>Partnership</w:t>
      </w:r>
      <w:r w:rsidRPr="00A84D9B">
        <w:rPr>
          <w:bCs/>
        </w:rPr>
        <w:t xml:space="preserve"> models (identification of partners, definitions of strong effective of partnerships, sustainability of</w:t>
      </w:r>
      <w:r w:rsidRPr="00A84D9B">
        <w:rPr>
          <w:bCs/>
        </w:rPr>
        <w:t xml:space="preserve"> partnerships)   </w:t>
      </w:r>
    </w:p>
    <w:p w:rsidR="00000000" w:rsidRPr="00A84D9B" w:rsidRDefault="00D448C8" w:rsidP="00BB66F0">
      <w:pPr>
        <w:pStyle w:val="ListParagraph"/>
        <w:numPr>
          <w:ilvl w:val="0"/>
          <w:numId w:val="10"/>
        </w:numPr>
        <w:rPr>
          <w:bCs/>
        </w:rPr>
      </w:pPr>
      <w:r>
        <w:rPr>
          <w:bCs/>
        </w:rPr>
        <w:t>Steps s</w:t>
      </w:r>
      <w:r w:rsidR="00B9384C" w:rsidRPr="00A84D9B">
        <w:rPr>
          <w:bCs/>
        </w:rPr>
        <w:t>chools and others need to consider as an Audit Framework</w:t>
      </w:r>
    </w:p>
    <w:p w:rsidR="00000000" w:rsidRPr="00A84D9B" w:rsidRDefault="00B9384C" w:rsidP="00BB66F0">
      <w:pPr>
        <w:pStyle w:val="ListParagraph"/>
        <w:numPr>
          <w:ilvl w:val="0"/>
          <w:numId w:val="10"/>
        </w:numPr>
        <w:rPr>
          <w:bCs/>
        </w:rPr>
      </w:pPr>
      <w:r w:rsidRPr="00A84D9B">
        <w:rPr>
          <w:bCs/>
        </w:rPr>
        <w:t xml:space="preserve">Identify and communicate potential models for </w:t>
      </w:r>
      <w:r w:rsidRPr="001E5FF6">
        <w:rPr>
          <w:b/>
          <w:bCs/>
          <w:color w:val="0070C0"/>
        </w:rPr>
        <w:t>building capacity</w:t>
      </w:r>
      <w:r w:rsidRPr="00A84D9B">
        <w:rPr>
          <w:bCs/>
        </w:rPr>
        <w:t xml:space="preserve"> in the coming years in all sectors and at LA levels</w:t>
      </w:r>
    </w:p>
    <w:p w:rsidR="00A84D9B" w:rsidRPr="00A84D9B" w:rsidRDefault="00A84D9B" w:rsidP="00BB66F0">
      <w:pPr>
        <w:pStyle w:val="ListParagraph"/>
        <w:numPr>
          <w:ilvl w:val="0"/>
          <w:numId w:val="10"/>
        </w:numPr>
        <w:rPr>
          <w:bCs/>
        </w:rPr>
      </w:pPr>
      <w:r w:rsidRPr="00A84D9B">
        <w:rPr>
          <w:bCs/>
        </w:rPr>
        <w:t xml:space="preserve"> Respectfully and in the spirit of true </w:t>
      </w:r>
      <w:r w:rsidRPr="00D448C8">
        <w:rPr>
          <w:b/>
          <w:bCs/>
        </w:rPr>
        <w:t>partnership</w:t>
      </w:r>
      <w:r w:rsidRPr="00A84D9B">
        <w:rPr>
          <w:bCs/>
        </w:rPr>
        <w:t xml:space="preserve"> provide Guidance for SG and HMIE on measuring success of the whole range of entitlements of Senior</w:t>
      </w:r>
    </w:p>
    <w:p w:rsidR="00A84D9B" w:rsidRPr="00A84D9B" w:rsidRDefault="00A84D9B" w:rsidP="00BB66F0">
      <w:pPr>
        <w:pStyle w:val="ListParagraph"/>
        <w:numPr>
          <w:ilvl w:val="0"/>
          <w:numId w:val="10"/>
        </w:numPr>
      </w:pPr>
      <w:r w:rsidRPr="00A84D9B">
        <w:t>Reach a bala</w:t>
      </w:r>
      <w:r>
        <w:t xml:space="preserve">nce between risk and </w:t>
      </w:r>
      <w:r w:rsidRPr="00A84D9B">
        <w:t>accountability.</w:t>
      </w:r>
    </w:p>
    <w:p w:rsidR="00A84D9B" w:rsidRPr="00A84D9B" w:rsidRDefault="00A84D9B" w:rsidP="00BB66F0">
      <w:pPr>
        <w:pStyle w:val="ListParagraph"/>
        <w:numPr>
          <w:ilvl w:val="0"/>
          <w:numId w:val="10"/>
        </w:numPr>
      </w:pPr>
      <w:r w:rsidRPr="00A84D9B">
        <w:t>Gain a better und</w:t>
      </w:r>
      <w:r w:rsidR="00BB66F0">
        <w:t xml:space="preserve">erstanding of the implications </w:t>
      </w:r>
      <w:r w:rsidRPr="00A84D9B">
        <w:t xml:space="preserve">for our </w:t>
      </w:r>
      <w:r w:rsidRPr="00D448C8">
        <w:rPr>
          <w:b/>
        </w:rPr>
        <w:t>own and other sectors</w:t>
      </w:r>
      <w:r w:rsidRPr="00A84D9B">
        <w:t xml:space="preserve">. </w:t>
      </w:r>
    </w:p>
    <w:p w:rsidR="00773C8B" w:rsidRDefault="00773C8B" w:rsidP="00773C8B"/>
    <w:p w:rsidR="00D448C8" w:rsidRPr="00D448C8" w:rsidRDefault="00D448C8" w:rsidP="00773C8B">
      <w:pPr>
        <w:rPr>
          <w:b/>
        </w:rPr>
      </w:pPr>
      <w:r w:rsidRPr="00D448C8">
        <w:rPr>
          <w:b/>
        </w:rPr>
        <w:t>Key messages</w:t>
      </w:r>
    </w:p>
    <w:p w:rsidR="00D448C8" w:rsidRPr="001E5FF6" w:rsidRDefault="00D448C8" w:rsidP="00D448C8">
      <w:pPr>
        <w:pStyle w:val="ListParagraph"/>
        <w:numPr>
          <w:ilvl w:val="0"/>
          <w:numId w:val="24"/>
        </w:numPr>
        <w:rPr>
          <w:b/>
          <w:bCs/>
        </w:rPr>
      </w:pPr>
      <w:r w:rsidRPr="001E5FF6">
        <w:rPr>
          <w:b/>
          <w:bCs/>
        </w:rPr>
        <w:t>Different aspects of partnerships</w:t>
      </w:r>
    </w:p>
    <w:p w:rsidR="00D448C8" w:rsidRPr="001E5FF6" w:rsidRDefault="00D448C8" w:rsidP="00D448C8">
      <w:pPr>
        <w:pStyle w:val="ListParagraph"/>
        <w:numPr>
          <w:ilvl w:val="0"/>
          <w:numId w:val="24"/>
        </w:numPr>
        <w:rPr>
          <w:b/>
          <w:bCs/>
          <w:color w:val="D99594" w:themeColor="accent2" w:themeTint="99"/>
        </w:rPr>
      </w:pPr>
      <w:r w:rsidRPr="001E5FF6">
        <w:rPr>
          <w:b/>
          <w:bCs/>
          <w:color w:val="D99594" w:themeColor="accent2" w:themeTint="99"/>
        </w:rPr>
        <w:t>Consistent messages re senior phase</w:t>
      </w:r>
    </w:p>
    <w:p w:rsidR="00D448C8" w:rsidRPr="001E5FF6" w:rsidRDefault="00D448C8" w:rsidP="00D448C8">
      <w:pPr>
        <w:pStyle w:val="ListParagraph"/>
        <w:numPr>
          <w:ilvl w:val="0"/>
          <w:numId w:val="24"/>
        </w:numPr>
        <w:rPr>
          <w:b/>
          <w:bCs/>
          <w:color w:val="FF0000"/>
        </w:rPr>
      </w:pPr>
      <w:r w:rsidRPr="001E5FF6">
        <w:rPr>
          <w:b/>
          <w:bCs/>
          <w:color w:val="FF0000"/>
        </w:rPr>
        <w:t>Qualifications</w:t>
      </w:r>
    </w:p>
    <w:p w:rsidR="00D448C8" w:rsidRPr="001E5FF6" w:rsidRDefault="00D448C8" w:rsidP="00D448C8">
      <w:pPr>
        <w:pStyle w:val="ListParagraph"/>
        <w:numPr>
          <w:ilvl w:val="0"/>
          <w:numId w:val="24"/>
        </w:numPr>
        <w:rPr>
          <w:b/>
          <w:bCs/>
          <w:color w:val="0070C0"/>
        </w:rPr>
      </w:pPr>
      <w:r w:rsidRPr="001E5FF6">
        <w:rPr>
          <w:b/>
          <w:bCs/>
          <w:color w:val="0070C0"/>
        </w:rPr>
        <w:t>Capacity</w:t>
      </w:r>
    </w:p>
    <w:p w:rsidR="001E5FF6" w:rsidRPr="001E5FF6" w:rsidRDefault="001E5FF6" w:rsidP="00D448C8">
      <w:pPr>
        <w:pStyle w:val="ListParagraph"/>
        <w:numPr>
          <w:ilvl w:val="0"/>
          <w:numId w:val="24"/>
        </w:numPr>
        <w:rPr>
          <w:b/>
          <w:bCs/>
          <w:color w:val="B2A1C7" w:themeColor="accent4" w:themeTint="99"/>
        </w:rPr>
      </w:pPr>
      <w:r w:rsidRPr="001E5FF6">
        <w:rPr>
          <w:b/>
          <w:bCs/>
          <w:color w:val="B2A1C7" w:themeColor="accent4" w:themeTint="99"/>
        </w:rPr>
        <w:t>Personalisation agenda</w:t>
      </w:r>
    </w:p>
    <w:p w:rsidR="00D448C8" w:rsidRDefault="00D448C8" w:rsidP="00D448C8">
      <w:pPr>
        <w:pStyle w:val="ListParagraph"/>
      </w:pPr>
    </w:p>
    <w:p w:rsidR="00895771" w:rsidRDefault="00895771" w:rsidP="00773C8B"/>
    <w:p w:rsidR="00895771" w:rsidRDefault="00895771" w:rsidP="00773C8B"/>
    <w:p w:rsidR="00895771" w:rsidRDefault="00895771" w:rsidP="00773C8B">
      <w:pPr>
        <w:rPr>
          <w:b/>
        </w:rPr>
      </w:pPr>
      <w:r w:rsidRPr="00895771">
        <w:rPr>
          <w:b/>
        </w:rPr>
        <w:t xml:space="preserve">Task </w:t>
      </w:r>
      <w:proofErr w:type="gramStart"/>
      <w:r w:rsidRPr="00895771">
        <w:rPr>
          <w:b/>
        </w:rPr>
        <w:t>2  summary</w:t>
      </w:r>
      <w:proofErr w:type="gramEnd"/>
    </w:p>
    <w:p w:rsidR="00895771" w:rsidRDefault="00895771" w:rsidP="00773C8B">
      <w:pPr>
        <w:rPr>
          <w:b/>
        </w:rPr>
      </w:pPr>
      <w:r>
        <w:rPr>
          <w:b/>
        </w:rPr>
        <w:t>Key opportunities</w:t>
      </w:r>
    </w:p>
    <w:p w:rsidR="00895771" w:rsidRPr="00895771" w:rsidRDefault="00895771" w:rsidP="007D3F88">
      <w:pPr>
        <w:pStyle w:val="ListParagraph"/>
        <w:numPr>
          <w:ilvl w:val="0"/>
          <w:numId w:val="16"/>
        </w:numPr>
      </w:pPr>
      <w:r w:rsidRPr="00895771">
        <w:t xml:space="preserve">Looking at learning teams </w:t>
      </w:r>
      <w:r w:rsidRPr="001E5FF6">
        <w:rPr>
          <w:b/>
        </w:rPr>
        <w:t>across sectors</w:t>
      </w:r>
      <w:r w:rsidRPr="00895771">
        <w:t xml:space="preserve"> to develop cohesion and connections (framework for learning)</w:t>
      </w:r>
    </w:p>
    <w:p w:rsidR="00895771" w:rsidRPr="00895771" w:rsidRDefault="00895771" w:rsidP="007D3F88">
      <w:pPr>
        <w:pStyle w:val="ListParagraph"/>
        <w:numPr>
          <w:ilvl w:val="0"/>
          <w:numId w:val="16"/>
        </w:numPr>
      </w:pPr>
      <w:r w:rsidRPr="00895771">
        <w:t>Sectors Learning from each other and  developing</w:t>
      </w:r>
      <w:r w:rsidRPr="001E5FF6">
        <w:rPr>
          <w:b/>
        </w:rPr>
        <w:t xml:space="preserve"> partnerships </w:t>
      </w:r>
      <w:r w:rsidRPr="00895771">
        <w:t xml:space="preserve">, pupil mentoring and personal support processes </w:t>
      </w:r>
      <w:r w:rsidRPr="001E5FF6">
        <w:rPr>
          <w:bCs/>
        </w:rPr>
        <w:t>(joint CPD and transitions)</w:t>
      </w:r>
    </w:p>
    <w:p w:rsidR="00895771" w:rsidRPr="00895771" w:rsidRDefault="00895771" w:rsidP="007D3F88">
      <w:pPr>
        <w:pStyle w:val="ListParagraph"/>
        <w:numPr>
          <w:ilvl w:val="0"/>
          <w:numId w:val="16"/>
        </w:numPr>
      </w:pPr>
      <w:r w:rsidRPr="00895771">
        <w:t xml:space="preserve">Engaging </w:t>
      </w:r>
      <w:r w:rsidRPr="001E5FF6">
        <w:rPr>
          <w:b/>
        </w:rPr>
        <w:t>3</w:t>
      </w:r>
      <w:r w:rsidRPr="001E5FF6">
        <w:rPr>
          <w:b/>
          <w:vertAlign w:val="superscript"/>
        </w:rPr>
        <w:t>rd</w:t>
      </w:r>
      <w:r w:rsidRPr="001E5FF6">
        <w:rPr>
          <w:b/>
        </w:rPr>
        <w:t xml:space="preserve"> sector, employers and training providers</w:t>
      </w:r>
      <w:r w:rsidRPr="00895771">
        <w:t xml:space="preserve"> in building the capacity of learning opportunities</w:t>
      </w:r>
    </w:p>
    <w:p w:rsidR="00895771" w:rsidRPr="00895771" w:rsidRDefault="00895771" w:rsidP="007D3F88">
      <w:pPr>
        <w:pStyle w:val="ListParagraph"/>
        <w:numPr>
          <w:ilvl w:val="0"/>
          <w:numId w:val="16"/>
        </w:numPr>
      </w:pPr>
      <w:r w:rsidRPr="00895771">
        <w:t>Meeting the needs of learners at all levels – increasing the range of pathways (making connections and developing skill sets – including leadership, team-working)</w:t>
      </w:r>
    </w:p>
    <w:p w:rsidR="00895771" w:rsidRPr="00895771" w:rsidRDefault="00895771" w:rsidP="007D3F88">
      <w:pPr>
        <w:pStyle w:val="ListParagraph"/>
        <w:numPr>
          <w:ilvl w:val="0"/>
          <w:numId w:val="16"/>
        </w:numPr>
      </w:pPr>
      <w:r w:rsidRPr="00895771">
        <w:t xml:space="preserve">Using college and employer connections to develop </w:t>
      </w:r>
      <w:r w:rsidRPr="001E5FF6">
        <w:rPr>
          <w:b/>
        </w:rPr>
        <w:t>partnerships</w:t>
      </w:r>
      <w:r w:rsidRPr="00895771">
        <w:t xml:space="preserve"> in schools (through existing college partnerships)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>Potential for transformational change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>Creating “education without walls”</w:t>
      </w:r>
      <w:r w:rsidRPr="007D3F88">
        <w:rPr>
          <w:b/>
          <w:bCs/>
        </w:rPr>
        <w:t xml:space="preserve"> 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 xml:space="preserve">Building in articulation and flexibility through the design of the </w:t>
      </w:r>
      <w:r w:rsidRPr="001E5FF6">
        <w:rPr>
          <w:b/>
          <w:color w:val="FF0000"/>
        </w:rPr>
        <w:t>qualifications</w:t>
      </w:r>
      <w:r w:rsidRPr="003F6F53">
        <w:t xml:space="preserve"> and through structures 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 xml:space="preserve">Bringing about economies of scale through an S4-S6 model which allows schools to offer wide variety of courses 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>Changing the subject based culture and enhancing teacher professionalism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 xml:space="preserve">Structured and proactive </w:t>
      </w:r>
      <w:r w:rsidRPr="001E5FF6">
        <w:rPr>
          <w:b/>
        </w:rPr>
        <w:t>partnership</w:t>
      </w:r>
      <w:r w:rsidRPr="003F6F53">
        <w:t xml:space="preserve"> working to open up learning opportunities. Engage partners at the point of implementing a programme through to evaluating its impact.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 xml:space="preserve">Flexible use of time, flexible delivery to meet the </w:t>
      </w:r>
      <w:r w:rsidRPr="001E5FF6">
        <w:rPr>
          <w:b/>
          <w:color w:val="B2A1C7" w:themeColor="accent4" w:themeTint="99"/>
        </w:rPr>
        <w:t>needs of learners</w:t>
      </w:r>
      <w:r w:rsidRPr="003F6F53">
        <w:t xml:space="preserve"> e.g. VLEs, home study, voluntary work, work placement etc.</w:t>
      </w:r>
      <w:r w:rsidRPr="007D3F88">
        <w:rPr>
          <w:b/>
          <w:bCs/>
        </w:rPr>
        <w:t xml:space="preserve"> 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1E5FF6">
        <w:rPr>
          <w:b/>
          <w:color w:val="B2A1C7" w:themeColor="accent4" w:themeTint="99"/>
        </w:rPr>
        <w:t>Learners taking more responsibility</w:t>
      </w:r>
      <w:r w:rsidRPr="003F6F53">
        <w:t xml:space="preserve"> of their learning – use of personal learning units, leadership qualifications etc.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 xml:space="preserve">Opportunities for </w:t>
      </w:r>
      <w:r w:rsidRPr="001E5FF6">
        <w:rPr>
          <w:b/>
          <w:color w:val="B2A1C7" w:themeColor="accent4" w:themeTint="99"/>
        </w:rPr>
        <w:t>working with students</w:t>
      </w:r>
      <w:r w:rsidRPr="003F6F53">
        <w:t xml:space="preserve"> as peer learners/assessors, self assessment/self awareness.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 xml:space="preserve">Opportunity to offer the wider range of </w:t>
      </w:r>
      <w:r w:rsidRPr="001E5FF6">
        <w:rPr>
          <w:b/>
          <w:color w:val="FF0000"/>
        </w:rPr>
        <w:t>qualification</w:t>
      </w:r>
      <w:r w:rsidRPr="003F6F53">
        <w:t xml:space="preserve"> and experiences (work related learning, volunteering as examples) to young people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1E5FF6">
        <w:rPr>
          <w:b/>
          <w:color w:val="B2A1C7" w:themeColor="accent4" w:themeTint="99"/>
        </w:rPr>
        <w:t>Personalisation agenda</w:t>
      </w:r>
      <w:r w:rsidRPr="003F6F53">
        <w:t xml:space="preserve"> should allow for appropriate range and balance of experiences. 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3F6F53">
        <w:t xml:space="preserve">Enable all teachers to embrace </w:t>
      </w:r>
      <w:r w:rsidRPr="001E5FF6">
        <w:rPr>
          <w:b/>
          <w:color w:val="E36C0A" w:themeColor="accent6" w:themeShade="BF"/>
        </w:rPr>
        <w:t>personal support</w:t>
      </w:r>
      <w:r w:rsidRPr="003F6F53">
        <w:t xml:space="preserve"> responsibilities for all young people.  This will mean that young people will have what they need b</w:t>
      </w:r>
      <w:r w:rsidR="001B5F72">
        <w:t>y way of support – not just MCMC</w:t>
      </w:r>
      <w:r w:rsidRPr="003F6F53">
        <w:t>/ASN group.</w:t>
      </w:r>
    </w:p>
    <w:p w:rsidR="003F6F53" w:rsidRPr="003F6F53" w:rsidRDefault="003F6F53" w:rsidP="007D3F88">
      <w:pPr>
        <w:pStyle w:val="ListParagraph"/>
        <w:numPr>
          <w:ilvl w:val="0"/>
          <w:numId w:val="16"/>
        </w:numPr>
      </w:pPr>
      <w:r w:rsidRPr="001E5FF6">
        <w:rPr>
          <w:b/>
          <w:color w:val="B2A1C7" w:themeColor="accent4" w:themeTint="99"/>
        </w:rPr>
        <w:t>Individualised learning</w:t>
      </w:r>
      <w:r w:rsidRPr="003F6F53">
        <w:t xml:space="preserve"> – particularly for post 16s.  Opportunity for young people to be involved in working out what works best for them.</w:t>
      </w:r>
    </w:p>
    <w:p w:rsidR="001B5F72" w:rsidRDefault="003F6F53" w:rsidP="001B5F72">
      <w:pPr>
        <w:pStyle w:val="ListParagraph"/>
        <w:numPr>
          <w:ilvl w:val="0"/>
          <w:numId w:val="16"/>
        </w:numPr>
      </w:pPr>
      <w:r w:rsidRPr="003F6F53">
        <w:t xml:space="preserve">Opportunity for </w:t>
      </w:r>
      <w:r w:rsidRPr="001E5FF6">
        <w:rPr>
          <w:b/>
          <w:color w:val="FF0000"/>
        </w:rPr>
        <w:t>qualifications</w:t>
      </w:r>
      <w:r w:rsidRPr="003F6F53">
        <w:t xml:space="preserve"> to mirror the holistic experience of young people.</w:t>
      </w:r>
    </w:p>
    <w:p w:rsidR="001B5F72" w:rsidRDefault="001B5F72" w:rsidP="001B5F72">
      <w:pPr>
        <w:pStyle w:val="ListParagraph"/>
        <w:numPr>
          <w:ilvl w:val="0"/>
          <w:numId w:val="16"/>
        </w:numPr>
      </w:pPr>
      <w:r w:rsidRPr="001B5F72">
        <w:t>Provide a deeper, broader, richer cu</w:t>
      </w:r>
      <w:r>
        <w:t xml:space="preserve">rriculum for all young people, </w:t>
      </w:r>
      <w:r w:rsidRPr="001B5F72">
        <w:t>utilising skills of teachers and learners.</w:t>
      </w:r>
    </w:p>
    <w:p w:rsidR="001B5F72" w:rsidRDefault="001B5F72" w:rsidP="001B5F72">
      <w:pPr>
        <w:pStyle w:val="ListParagraph"/>
        <w:numPr>
          <w:ilvl w:val="0"/>
          <w:numId w:val="16"/>
        </w:numPr>
      </w:pPr>
      <w:r w:rsidRPr="001B5F72">
        <w:t xml:space="preserve">Challenge and stretch all young people, most able to MCMC </w:t>
      </w:r>
    </w:p>
    <w:p w:rsidR="001B5F72" w:rsidRDefault="001B5F72" w:rsidP="001B5F72">
      <w:pPr>
        <w:pStyle w:val="ListParagraph"/>
        <w:numPr>
          <w:ilvl w:val="0"/>
          <w:numId w:val="16"/>
        </w:numPr>
      </w:pPr>
      <w:r w:rsidRPr="001B5F72">
        <w:t xml:space="preserve">More focussed </w:t>
      </w:r>
      <w:r w:rsidRPr="001E5FF6">
        <w:rPr>
          <w:b/>
        </w:rPr>
        <w:t>coherent joining up</w:t>
      </w:r>
      <w:r w:rsidRPr="001B5F72">
        <w:t xml:space="preserve"> of all</w:t>
      </w:r>
      <w:r>
        <w:t xml:space="preserve"> learning experiences, blended </w:t>
      </w:r>
      <w:r w:rsidRPr="001B5F72">
        <w:t>provision.</w:t>
      </w:r>
    </w:p>
    <w:p w:rsidR="001B5F72" w:rsidRDefault="001B5F72" w:rsidP="001B5F72">
      <w:pPr>
        <w:pStyle w:val="ListParagraph"/>
        <w:numPr>
          <w:ilvl w:val="0"/>
          <w:numId w:val="16"/>
        </w:numPr>
      </w:pPr>
      <w:r w:rsidRPr="001B5F72">
        <w:t>Culture shift, matching learning to how learners learn.</w:t>
      </w:r>
    </w:p>
    <w:p w:rsidR="001B5F72" w:rsidRDefault="001B5F72" w:rsidP="001B5F72">
      <w:pPr>
        <w:pStyle w:val="ListParagraph"/>
        <w:numPr>
          <w:ilvl w:val="0"/>
          <w:numId w:val="16"/>
        </w:numPr>
      </w:pPr>
      <w:r w:rsidRPr="001B5F72">
        <w:t xml:space="preserve">Equity in </w:t>
      </w:r>
      <w:r w:rsidRPr="001E5FF6">
        <w:rPr>
          <w:b/>
        </w:rPr>
        <w:t>partnership</w:t>
      </w:r>
      <w:r w:rsidRPr="001B5F72">
        <w:t xml:space="preserve"> working, partne</w:t>
      </w:r>
      <w:r>
        <w:t xml:space="preserve">rs involved at all levels from </w:t>
      </w:r>
      <w:r w:rsidRPr="001B5F72">
        <w:t>strategic to operational.</w:t>
      </w:r>
    </w:p>
    <w:p w:rsidR="001E5FF6" w:rsidRDefault="001E5FF6" w:rsidP="001E5FF6">
      <w:pPr>
        <w:pStyle w:val="ListParagraph"/>
        <w:ind w:left="360"/>
      </w:pPr>
    </w:p>
    <w:p w:rsidR="001E5FF6" w:rsidRPr="001B5F72" w:rsidRDefault="001E5FF6" w:rsidP="001E5FF6">
      <w:pPr>
        <w:pStyle w:val="ListParagraph"/>
        <w:ind w:left="360"/>
      </w:pPr>
    </w:p>
    <w:p w:rsidR="001E5FF6" w:rsidRDefault="001E5FF6" w:rsidP="00773C8B">
      <w:pPr>
        <w:rPr>
          <w:b/>
        </w:rPr>
      </w:pPr>
    </w:p>
    <w:p w:rsidR="00895771" w:rsidRPr="00895771" w:rsidRDefault="00895771" w:rsidP="00773C8B">
      <w:pPr>
        <w:rPr>
          <w:b/>
        </w:rPr>
      </w:pPr>
      <w:r w:rsidRPr="00895771">
        <w:rPr>
          <w:b/>
        </w:rPr>
        <w:t>Key challenges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3F6F53">
        <w:t>Imp</w:t>
      </w:r>
      <w:r w:rsidR="001E5FF6">
        <w:t>act on and sustainability of s</w:t>
      </w:r>
      <w:r w:rsidRPr="003F6F53">
        <w:t>taffing ,structures and partnerships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3F6F53">
        <w:t>Managing change whilst maintaining staff confidence in the context of limited resources</w:t>
      </w:r>
      <w:r w:rsidRPr="007D3F88">
        <w:rPr>
          <w:b/>
          <w:bCs/>
        </w:rPr>
        <w:t xml:space="preserve"> 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B9384C">
        <w:rPr>
          <w:b/>
        </w:rPr>
        <w:t>Engaging 3</w:t>
      </w:r>
      <w:r w:rsidRPr="00B9384C">
        <w:rPr>
          <w:b/>
          <w:vertAlign w:val="superscript"/>
        </w:rPr>
        <w:t>rd</w:t>
      </w:r>
      <w:r w:rsidRPr="00B9384C">
        <w:rPr>
          <w:b/>
        </w:rPr>
        <w:t xml:space="preserve"> sector, employers and training providers</w:t>
      </w:r>
      <w:r w:rsidRPr="003F6F53">
        <w:t xml:space="preserve"> in building capacity. (Roles and responsibilities)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3F6F53">
        <w:t xml:space="preserve">Communication with parents, employers and other stakeholders </w:t>
      </w:r>
    </w:p>
    <w:p w:rsidR="001B5F72" w:rsidRDefault="003F6F53" w:rsidP="001B5F72">
      <w:pPr>
        <w:pStyle w:val="ListParagraph"/>
        <w:numPr>
          <w:ilvl w:val="0"/>
          <w:numId w:val="20"/>
        </w:numPr>
      </w:pPr>
      <w:r w:rsidRPr="003F6F53">
        <w:t>Recognising the complexities of achieving the end game for all stakeholders</w:t>
      </w:r>
    </w:p>
    <w:p w:rsidR="001B5F72" w:rsidRDefault="003F6F53" w:rsidP="001B5F72">
      <w:pPr>
        <w:pStyle w:val="ListParagraph"/>
        <w:numPr>
          <w:ilvl w:val="0"/>
          <w:numId w:val="20"/>
        </w:numPr>
      </w:pPr>
      <w:r w:rsidRPr="003F6F53">
        <w:t>Leadership at all levels including for example higher level of commitment and understanding at chief exec level</w:t>
      </w:r>
    </w:p>
    <w:p w:rsidR="001B5F72" w:rsidRDefault="00B9384C" w:rsidP="001B5F72">
      <w:pPr>
        <w:pStyle w:val="ListParagraph"/>
        <w:numPr>
          <w:ilvl w:val="0"/>
          <w:numId w:val="20"/>
        </w:numPr>
      </w:pPr>
      <w:r w:rsidRPr="003F6F53">
        <w:lastRenderedPageBreak/>
        <w:t>Structural and philosophical opposition to transforma</w:t>
      </w:r>
      <w:r w:rsidRPr="003F6F53">
        <w:t>tional change – challenging the desire to stay with the known</w:t>
      </w:r>
    </w:p>
    <w:p w:rsidR="001B5F72" w:rsidRDefault="00B9384C" w:rsidP="001B5F72">
      <w:pPr>
        <w:pStyle w:val="ListParagraph"/>
        <w:numPr>
          <w:ilvl w:val="0"/>
          <w:numId w:val="20"/>
        </w:numPr>
      </w:pPr>
      <w:r w:rsidRPr="003F6F53">
        <w:t>Overcoming structural barriers to flexibility of delivery</w:t>
      </w:r>
    </w:p>
    <w:p w:rsidR="003F6F53" w:rsidRPr="003F6F53" w:rsidRDefault="003F6F53" w:rsidP="001B5F72">
      <w:pPr>
        <w:pStyle w:val="ListParagraph"/>
        <w:numPr>
          <w:ilvl w:val="0"/>
          <w:numId w:val="20"/>
        </w:numPr>
      </w:pPr>
      <w:r w:rsidRPr="003F6F53">
        <w:t xml:space="preserve">Fear of “subject erosion” – issues of “how many subjects?”; providing an open choice of courses as opposed to compulsory choices 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3F6F53">
        <w:t xml:space="preserve">Getting other </w:t>
      </w:r>
      <w:r w:rsidRPr="00B9384C">
        <w:rPr>
          <w:b/>
        </w:rPr>
        <w:t>stakeholders</w:t>
      </w:r>
      <w:r w:rsidRPr="003F6F53">
        <w:t xml:space="preserve"> “on message” – universities; employers; parents and learners</w:t>
      </w:r>
    </w:p>
    <w:p w:rsidR="001B5F72" w:rsidRDefault="003F6F53" w:rsidP="001B5F72">
      <w:pPr>
        <w:pStyle w:val="ListParagraph"/>
        <w:numPr>
          <w:ilvl w:val="0"/>
          <w:numId w:val="20"/>
        </w:numPr>
      </w:pPr>
      <w:r w:rsidRPr="003F6F53">
        <w:t xml:space="preserve">Capacity of </w:t>
      </w:r>
      <w:r w:rsidRPr="00B9384C">
        <w:rPr>
          <w:b/>
        </w:rPr>
        <w:t xml:space="preserve">partners </w:t>
      </w:r>
      <w:r w:rsidRPr="003F6F53">
        <w:t xml:space="preserve">to provide across the system </w:t>
      </w:r>
    </w:p>
    <w:p w:rsidR="001B5F72" w:rsidRDefault="003F6F53" w:rsidP="001B5F72">
      <w:pPr>
        <w:pStyle w:val="ListParagraph"/>
        <w:numPr>
          <w:ilvl w:val="0"/>
          <w:numId w:val="20"/>
        </w:numPr>
      </w:pPr>
      <w:r w:rsidRPr="003F6F53">
        <w:t>Potential ambiguity around entitlements – need to be clear what is meant by entitlements, shared understanding.</w:t>
      </w:r>
    </w:p>
    <w:p w:rsidR="001B5F72" w:rsidRDefault="00B9384C" w:rsidP="001B5F72">
      <w:pPr>
        <w:pStyle w:val="ListParagraph"/>
        <w:numPr>
          <w:ilvl w:val="0"/>
          <w:numId w:val="20"/>
        </w:numPr>
      </w:pPr>
      <w:r w:rsidRPr="003F6F53">
        <w:t xml:space="preserve">Provision of sound management, guidance/information in </w:t>
      </w:r>
      <w:r w:rsidRPr="00B9384C">
        <w:rPr>
          <w:b/>
          <w:color w:val="E36C0A" w:themeColor="accent6" w:themeShade="BF"/>
        </w:rPr>
        <w:t>supporting learners</w:t>
      </w:r>
      <w:r w:rsidRPr="003F6F53">
        <w:t xml:space="preserve"> in making most appropriate choices. </w:t>
      </w:r>
    </w:p>
    <w:p w:rsidR="001B5F72" w:rsidRPr="00B9384C" w:rsidRDefault="00B9384C" w:rsidP="001B5F72">
      <w:pPr>
        <w:pStyle w:val="ListParagraph"/>
        <w:numPr>
          <w:ilvl w:val="0"/>
          <w:numId w:val="20"/>
        </w:numPr>
        <w:rPr>
          <w:b/>
          <w:color w:val="E36C0A" w:themeColor="accent6" w:themeShade="BF"/>
        </w:rPr>
      </w:pPr>
      <w:r w:rsidRPr="00B9384C">
        <w:rPr>
          <w:b/>
          <w:color w:val="E36C0A" w:themeColor="accent6" w:themeShade="BF"/>
        </w:rPr>
        <w:t xml:space="preserve">Tracking individual progress.  </w:t>
      </w:r>
    </w:p>
    <w:p w:rsidR="001B5F72" w:rsidRPr="001B5F72" w:rsidRDefault="00B9384C" w:rsidP="001B5F72">
      <w:pPr>
        <w:pStyle w:val="ListParagraph"/>
        <w:numPr>
          <w:ilvl w:val="0"/>
          <w:numId w:val="20"/>
        </w:numPr>
      </w:pPr>
      <w:r w:rsidRPr="003F6F53">
        <w:t>Ensuring overall quality of provision.</w:t>
      </w:r>
      <w:r w:rsidRPr="001B5F72">
        <w:rPr>
          <w:b/>
          <w:bCs/>
        </w:rPr>
        <w:t xml:space="preserve"> </w:t>
      </w:r>
    </w:p>
    <w:p w:rsidR="003F6F53" w:rsidRPr="003F6F53" w:rsidRDefault="003F6F53" w:rsidP="001B5F72">
      <w:pPr>
        <w:pStyle w:val="ListParagraph"/>
        <w:numPr>
          <w:ilvl w:val="0"/>
          <w:numId w:val="20"/>
        </w:numPr>
      </w:pPr>
      <w:r w:rsidRPr="003F6F53">
        <w:t>Public awareness and public education. Also involving universities (admissions officers), employers, sector skills councils in recognising the learning and qualifications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3F6F53">
        <w:t>Capitalising on parents and others (employers) positive contributions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3F6F53">
        <w:t>Sustainability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3F6F53">
        <w:t>Financial implications of wider personalisation and choice e</w:t>
      </w:r>
      <w:r w:rsidR="001B5F72">
        <w:t>.</w:t>
      </w:r>
      <w:r w:rsidRPr="003F6F53">
        <w:t>g</w:t>
      </w:r>
      <w:r w:rsidR="001B5F72">
        <w:t>.</w:t>
      </w:r>
      <w:r w:rsidRPr="003F6F53">
        <w:t xml:space="preserve"> travel</w:t>
      </w:r>
    </w:p>
    <w:p w:rsidR="003F6F53" w:rsidRPr="003F6F53" w:rsidRDefault="003F6F53" w:rsidP="007D3F88">
      <w:pPr>
        <w:pStyle w:val="ListParagraph"/>
        <w:numPr>
          <w:ilvl w:val="0"/>
          <w:numId w:val="20"/>
        </w:numPr>
      </w:pPr>
      <w:r w:rsidRPr="00B9384C">
        <w:rPr>
          <w:b/>
          <w:color w:val="FF00FF"/>
        </w:rPr>
        <w:t>Planning</w:t>
      </w:r>
      <w:r w:rsidRPr="003F6F53">
        <w:t xml:space="preserve"> for, </w:t>
      </w:r>
      <w:proofErr w:type="spellStart"/>
      <w:r w:rsidRPr="003F6F53">
        <w:t>operationalising</w:t>
      </w:r>
      <w:proofErr w:type="spellEnd"/>
      <w:r w:rsidRPr="003F6F53">
        <w:t xml:space="preserve"> and recording and valuing a wider range of a young persons achievement </w:t>
      </w:r>
    </w:p>
    <w:p w:rsidR="001B5F72" w:rsidRDefault="003F6F53" w:rsidP="001B5F72">
      <w:pPr>
        <w:pStyle w:val="ListParagraph"/>
        <w:numPr>
          <w:ilvl w:val="0"/>
          <w:numId w:val="20"/>
        </w:numPr>
      </w:pPr>
      <w:r w:rsidRPr="003F6F53">
        <w:t xml:space="preserve">Ensuring all teachers embrace </w:t>
      </w:r>
      <w:r w:rsidRPr="00B9384C">
        <w:rPr>
          <w:b/>
          <w:color w:val="E36C0A" w:themeColor="accent6" w:themeShade="BF"/>
        </w:rPr>
        <w:t>personal support</w:t>
      </w:r>
      <w:r w:rsidRPr="003F6F53">
        <w:t xml:space="preserve"> responsibilities and that structures enable support to be delivered</w:t>
      </w:r>
    </w:p>
    <w:p w:rsidR="001B5F72" w:rsidRDefault="001B5F72" w:rsidP="001B5F72">
      <w:pPr>
        <w:pStyle w:val="ListParagraph"/>
        <w:numPr>
          <w:ilvl w:val="0"/>
          <w:numId w:val="20"/>
        </w:numPr>
      </w:pPr>
      <w:r w:rsidRPr="001B5F72">
        <w:t>How do we know what we plan to do wil</w:t>
      </w:r>
      <w:r>
        <w:t xml:space="preserve">l make the differences that we </w:t>
      </w:r>
      <w:r w:rsidRPr="001B5F72">
        <w:t>want?</w:t>
      </w:r>
    </w:p>
    <w:p w:rsidR="001B5F72" w:rsidRDefault="001B5F72" w:rsidP="001B5F72">
      <w:pPr>
        <w:pStyle w:val="ListParagraph"/>
        <w:numPr>
          <w:ilvl w:val="0"/>
          <w:numId w:val="20"/>
        </w:numPr>
      </w:pPr>
      <w:r w:rsidRPr="001B5F72">
        <w:t>How can we engage with young people,</w:t>
      </w:r>
      <w:r>
        <w:t xml:space="preserve"> parents, stakeholders and the </w:t>
      </w:r>
      <w:r w:rsidRPr="001B5F72">
        <w:t>wider community?</w:t>
      </w:r>
    </w:p>
    <w:p w:rsidR="001B5F72" w:rsidRDefault="001B5F72" w:rsidP="001B5F72">
      <w:pPr>
        <w:pStyle w:val="ListParagraph"/>
        <w:numPr>
          <w:ilvl w:val="0"/>
          <w:numId w:val="20"/>
        </w:numPr>
      </w:pPr>
      <w:r w:rsidRPr="001B5F72">
        <w:t xml:space="preserve">Bringing together </w:t>
      </w:r>
      <w:r w:rsidRPr="001E5FF6">
        <w:rPr>
          <w:b/>
        </w:rPr>
        <w:t xml:space="preserve">partners </w:t>
      </w:r>
      <w:r w:rsidRPr="001B5F72">
        <w:t>with diffe</w:t>
      </w:r>
      <w:r>
        <w:t xml:space="preserve">rent methodologies, values and </w:t>
      </w:r>
      <w:r w:rsidRPr="001B5F72">
        <w:t>directions effectively.</w:t>
      </w:r>
    </w:p>
    <w:p w:rsidR="001B5F72" w:rsidRDefault="001B5F72" w:rsidP="001B5F72">
      <w:pPr>
        <w:pStyle w:val="ListParagraph"/>
        <w:numPr>
          <w:ilvl w:val="0"/>
          <w:numId w:val="20"/>
        </w:numPr>
      </w:pPr>
      <w:r w:rsidRPr="001B5F72">
        <w:t xml:space="preserve">CPD to support colleagues in all sectors through period of change. </w:t>
      </w:r>
    </w:p>
    <w:p w:rsidR="001B5F72" w:rsidRPr="001B5F72" w:rsidRDefault="001B5F72" w:rsidP="001B5F72">
      <w:pPr>
        <w:pStyle w:val="ListParagraph"/>
        <w:numPr>
          <w:ilvl w:val="0"/>
          <w:numId w:val="20"/>
        </w:numPr>
      </w:pPr>
      <w:r w:rsidRPr="00B9384C">
        <w:rPr>
          <w:b/>
          <w:color w:val="FF00FF"/>
        </w:rPr>
        <w:t>Planning</w:t>
      </w:r>
      <w:r w:rsidRPr="001B5F72">
        <w:t xml:space="preserve"> for transition into the senior phase from the broad general </w:t>
      </w:r>
      <w:r w:rsidRPr="001B5F72">
        <w:tab/>
        <w:t>education.</w:t>
      </w:r>
    </w:p>
    <w:p w:rsidR="00895771" w:rsidRDefault="00895771" w:rsidP="00773C8B"/>
    <w:p w:rsidR="001E5FF6" w:rsidRPr="00D448C8" w:rsidRDefault="001E5FF6" w:rsidP="001E5FF6">
      <w:pPr>
        <w:rPr>
          <w:b/>
        </w:rPr>
      </w:pPr>
      <w:r w:rsidRPr="00D448C8">
        <w:rPr>
          <w:b/>
        </w:rPr>
        <w:t>Key messages</w:t>
      </w:r>
    </w:p>
    <w:p w:rsidR="001E5FF6" w:rsidRPr="001E5FF6" w:rsidRDefault="001E5FF6" w:rsidP="001E5FF6">
      <w:pPr>
        <w:pStyle w:val="ListParagraph"/>
        <w:numPr>
          <w:ilvl w:val="0"/>
          <w:numId w:val="25"/>
        </w:numPr>
        <w:rPr>
          <w:b/>
          <w:bCs/>
        </w:rPr>
      </w:pPr>
      <w:r w:rsidRPr="001E5FF6">
        <w:rPr>
          <w:b/>
          <w:bCs/>
        </w:rPr>
        <w:t>Different aspects of partnerships</w:t>
      </w:r>
    </w:p>
    <w:p w:rsidR="001E5FF6" w:rsidRPr="001E5FF6" w:rsidRDefault="001E5FF6" w:rsidP="001E5FF6">
      <w:pPr>
        <w:pStyle w:val="ListParagraph"/>
        <w:numPr>
          <w:ilvl w:val="0"/>
          <w:numId w:val="25"/>
        </w:numPr>
        <w:rPr>
          <w:b/>
          <w:bCs/>
          <w:color w:val="D99594" w:themeColor="accent2" w:themeTint="99"/>
        </w:rPr>
      </w:pPr>
      <w:r w:rsidRPr="001E5FF6">
        <w:rPr>
          <w:b/>
          <w:bCs/>
          <w:color w:val="D99594" w:themeColor="accent2" w:themeTint="99"/>
        </w:rPr>
        <w:t>Consistent messages re senior phase</w:t>
      </w:r>
    </w:p>
    <w:p w:rsidR="001E5FF6" w:rsidRPr="001E5FF6" w:rsidRDefault="001E5FF6" w:rsidP="001E5FF6">
      <w:pPr>
        <w:pStyle w:val="ListParagraph"/>
        <w:numPr>
          <w:ilvl w:val="0"/>
          <w:numId w:val="25"/>
        </w:numPr>
        <w:rPr>
          <w:b/>
          <w:bCs/>
          <w:color w:val="FF0000"/>
        </w:rPr>
      </w:pPr>
      <w:r w:rsidRPr="001E5FF6">
        <w:rPr>
          <w:b/>
          <w:bCs/>
          <w:color w:val="FF0000"/>
        </w:rPr>
        <w:t>Qualifications</w:t>
      </w:r>
    </w:p>
    <w:p w:rsidR="001E5FF6" w:rsidRPr="001E5FF6" w:rsidRDefault="001E5FF6" w:rsidP="001E5FF6">
      <w:pPr>
        <w:pStyle w:val="ListParagraph"/>
        <w:numPr>
          <w:ilvl w:val="0"/>
          <w:numId w:val="25"/>
        </w:numPr>
        <w:rPr>
          <w:b/>
          <w:bCs/>
          <w:color w:val="0070C0"/>
        </w:rPr>
      </w:pPr>
      <w:r w:rsidRPr="001E5FF6">
        <w:rPr>
          <w:b/>
          <w:bCs/>
          <w:color w:val="0070C0"/>
        </w:rPr>
        <w:t>Capacity</w:t>
      </w:r>
    </w:p>
    <w:p w:rsidR="001E5FF6" w:rsidRDefault="001E5FF6" w:rsidP="001E5FF6">
      <w:pPr>
        <w:pStyle w:val="ListParagraph"/>
        <w:numPr>
          <w:ilvl w:val="0"/>
          <w:numId w:val="25"/>
        </w:numPr>
        <w:rPr>
          <w:b/>
          <w:bCs/>
          <w:color w:val="B2A1C7" w:themeColor="accent4" w:themeTint="99"/>
        </w:rPr>
      </w:pPr>
      <w:r w:rsidRPr="001E5FF6">
        <w:rPr>
          <w:b/>
          <w:bCs/>
          <w:color w:val="B2A1C7" w:themeColor="accent4" w:themeTint="99"/>
        </w:rPr>
        <w:t>Personalisation agenda</w:t>
      </w:r>
    </w:p>
    <w:p w:rsidR="001E5FF6" w:rsidRDefault="001E5FF6" w:rsidP="001E5FF6">
      <w:pPr>
        <w:pStyle w:val="ListParagraph"/>
        <w:numPr>
          <w:ilvl w:val="0"/>
          <w:numId w:val="25"/>
        </w:numPr>
        <w:rPr>
          <w:b/>
          <w:bCs/>
          <w:color w:val="E36C0A" w:themeColor="accent6" w:themeShade="BF"/>
        </w:rPr>
      </w:pPr>
      <w:r w:rsidRPr="001E5FF6">
        <w:rPr>
          <w:b/>
          <w:bCs/>
          <w:color w:val="E36C0A" w:themeColor="accent6" w:themeShade="BF"/>
        </w:rPr>
        <w:t>Personal support</w:t>
      </w:r>
    </w:p>
    <w:p w:rsidR="00B9384C" w:rsidRDefault="00B9384C" w:rsidP="001E5FF6">
      <w:pPr>
        <w:pStyle w:val="ListParagraph"/>
        <w:numPr>
          <w:ilvl w:val="0"/>
          <w:numId w:val="25"/>
        </w:numPr>
        <w:rPr>
          <w:b/>
          <w:bCs/>
          <w:color w:val="FF00FF"/>
        </w:rPr>
      </w:pPr>
      <w:r w:rsidRPr="00B9384C">
        <w:rPr>
          <w:b/>
          <w:bCs/>
          <w:color w:val="FF00FF"/>
        </w:rPr>
        <w:t>Planning</w:t>
      </w:r>
    </w:p>
    <w:p w:rsidR="00B9384C" w:rsidRPr="00B9384C" w:rsidRDefault="00B9384C" w:rsidP="00B9384C">
      <w:pPr>
        <w:rPr>
          <w:b/>
          <w:bCs/>
        </w:rPr>
      </w:pPr>
      <w:r w:rsidRPr="00B9384C">
        <w:rPr>
          <w:b/>
          <w:bCs/>
        </w:rPr>
        <w:t>Other issues</w:t>
      </w:r>
    </w:p>
    <w:p w:rsidR="00B9384C" w:rsidRPr="00B9384C" w:rsidRDefault="00B9384C" w:rsidP="00B9384C">
      <w:pPr>
        <w:pStyle w:val="ListParagraph"/>
        <w:numPr>
          <w:ilvl w:val="0"/>
          <w:numId w:val="26"/>
        </w:numPr>
        <w:rPr>
          <w:b/>
          <w:bCs/>
        </w:rPr>
      </w:pPr>
      <w:r w:rsidRPr="00B9384C">
        <w:rPr>
          <w:b/>
          <w:bCs/>
        </w:rPr>
        <w:t>CPD</w:t>
      </w:r>
    </w:p>
    <w:p w:rsidR="00B9384C" w:rsidRDefault="00B9384C" w:rsidP="00B9384C">
      <w:pPr>
        <w:pStyle w:val="ListParagraph"/>
        <w:numPr>
          <w:ilvl w:val="0"/>
          <w:numId w:val="26"/>
        </w:numPr>
        <w:rPr>
          <w:b/>
          <w:bCs/>
        </w:rPr>
      </w:pPr>
      <w:r w:rsidRPr="00B9384C">
        <w:rPr>
          <w:b/>
          <w:bCs/>
        </w:rPr>
        <w:t>Finances e.g. staffing</w:t>
      </w:r>
    </w:p>
    <w:p w:rsidR="00B9384C" w:rsidRDefault="00B9384C" w:rsidP="00B9384C">
      <w:pPr>
        <w:pStyle w:val="ListParagraph"/>
        <w:numPr>
          <w:ilvl w:val="0"/>
          <w:numId w:val="26"/>
        </w:numPr>
        <w:rPr>
          <w:b/>
          <w:bCs/>
        </w:rPr>
      </w:pPr>
      <w:r>
        <w:rPr>
          <w:b/>
          <w:bCs/>
        </w:rPr>
        <w:t>Public awareness e.g. parents, employers</w:t>
      </w:r>
    </w:p>
    <w:p w:rsidR="00B9384C" w:rsidRDefault="00B9384C" w:rsidP="00B9384C">
      <w:pPr>
        <w:pStyle w:val="ListParagraph"/>
        <w:numPr>
          <w:ilvl w:val="0"/>
          <w:numId w:val="26"/>
        </w:numPr>
        <w:rPr>
          <w:b/>
          <w:bCs/>
        </w:rPr>
      </w:pPr>
      <w:r>
        <w:rPr>
          <w:b/>
          <w:bCs/>
        </w:rPr>
        <w:t>Managing transformational change issues</w:t>
      </w:r>
    </w:p>
    <w:p w:rsidR="00B9384C" w:rsidRPr="00B9384C" w:rsidRDefault="00B9384C" w:rsidP="00B9384C">
      <w:pPr>
        <w:pStyle w:val="ListParagraph"/>
        <w:numPr>
          <w:ilvl w:val="0"/>
          <w:numId w:val="26"/>
        </w:numPr>
        <w:rPr>
          <w:b/>
          <w:bCs/>
        </w:rPr>
      </w:pPr>
      <w:r>
        <w:rPr>
          <w:b/>
          <w:bCs/>
        </w:rPr>
        <w:t>Sustainability</w:t>
      </w:r>
    </w:p>
    <w:p w:rsidR="00773C8B" w:rsidRDefault="00773C8B">
      <w:pPr>
        <w:rPr>
          <w:b/>
        </w:rPr>
      </w:pPr>
    </w:p>
    <w:p w:rsidR="001E5FF6" w:rsidRPr="00773C8B" w:rsidRDefault="001E5FF6">
      <w:pPr>
        <w:rPr>
          <w:b/>
        </w:rPr>
      </w:pPr>
    </w:p>
    <w:sectPr w:rsidR="001E5FF6" w:rsidRPr="00773C8B" w:rsidSect="00773C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052"/>
    <w:multiLevelType w:val="hybridMultilevel"/>
    <w:tmpl w:val="34949D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C356C"/>
    <w:multiLevelType w:val="hybridMultilevel"/>
    <w:tmpl w:val="4F3047F6"/>
    <w:lvl w:ilvl="0" w:tplc="25A813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D0937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5448FC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FEE110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BD4D6B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9E4171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FC4FC9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B74DEA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A7A172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9603327"/>
    <w:multiLevelType w:val="hybridMultilevel"/>
    <w:tmpl w:val="4B3E1B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2943F7"/>
    <w:multiLevelType w:val="hybridMultilevel"/>
    <w:tmpl w:val="E0A6CE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11276"/>
    <w:multiLevelType w:val="hybridMultilevel"/>
    <w:tmpl w:val="D312FA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76847"/>
    <w:multiLevelType w:val="hybridMultilevel"/>
    <w:tmpl w:val="D2F46F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B6B01"/>
    <w:multiLevelType w:val="hybridMultilevel"/>
    <w:tmpl w:val="94EE18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82638E"/>
    <w:multiLevelType w:val="hybridMultilevel"/>
    <w:tmpl w:val="7A9C40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26D92"/>
    <w:multiLevelType w:val="hybridMultilevel"/>
    <w:tmpl w:val="389643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A11E2"/>
    <w:multiLevelType w:val="hybridMultilevel"/>
    <w:tmpl w:val="6C9878FA"/>
    <w:lvl w:ilvl="0" w:tplc="8E282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4AC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BC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BCD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C67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A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03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ACB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6E5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6784694"/>
    <w:multiLevelType w:val="hybridMultilevel"/>
    <w:tmpl w:val="2294DD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F0A6A"/>
    <w:multiLevelType w:val="hybridMultilevel"/>
    <w:tmpl w:val="B9185D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A3007"/>
    <w:multiLevelType w:val="hybridMultilevel"/>
    <w:tmpl w:val="F572D1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F1734"/>
    <w:multiLevelType w:val="hybridMultilevel"/>
    <w:tmpl w:val="3CDC1EC0"/>
    <w:lvl w:ilvl="0" w:tplc="F796F2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98E871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3C0EFA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ACC2F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ADA70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3882E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B44EDB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D0D9A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E2058F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>
    <w:nsid w:val="445D619F"/>
    <w:multiLevelType w:val="hybridMultilevel"/>
    <w:tmpl w:val="93D25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F01D0"/>
    <w:multiLevelType w:val="hybridMultilevel"/>
    <w:tmpl w:val="4B80BA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EF264D"/>
    <w:multiLevelType w:val="hybridMultilevel"/>
    <w:tmpl w:val="6C4295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93DCE"/>
    <w:multiLevelType w:val="hybridMultilevel"/>
    <w:tmpl w:val="BF9A29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284E08"/>
    <w:multiLevelType w:val="hybridMultilevel"/>
    <w:tmpl w:val="0C8C9E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465B71"/>
    <w:multiLevelType w:val="hybridMultilevel"/>
    <w:tmpl w:val="779ADD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268768A"/>
    <w:multiLevelType w:val="hybridMultilevel"/>
    <w:tmpl w:val="F2FC4F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C02C9C"/>
    <w:multiLevelType w:val="hybridMultilevel"/>
    <w:tmpl w:val="11125D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7139EF"/>
    <w:multiLevelType w:val="hybridMultilevel"/>
    <w:tmpl w:val="01486C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63FF"/>
    <w:multiLevelType w:val="hybridMultilevel"/>
    <w:tmpl w:val="4B80BA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D29A1"/>
    <w:multiLevelType w:val="hybridMultilevel"/>
    <w:tmpl w:val="E6C47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9862FD"/>
    <w:multiLevelType w:val="hybridMultilevel"/>
    <w:tmpl w:val="4CBC3556"/>
    <w:lvl w:ilvl="0" w:tplc="F872E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C686A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B88CE9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B04A2F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B1EF4C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64C94C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3B4C1EC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B7A460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74CEE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3"/>
  </w:num>
  <w:num w:numId="2">
    <w:abstractNumId w:val="9"/>
  </w:num>
  <w:num w:numId="3">
    <w:abstractNumId w:val="17"/>
  </w:num>
  <w:num w:numId="4">
    <w:abstractNumId w:val="2"/>
  </w:num>
  <w:num w:numId="5">
    <w:abstractNumId w:val="18"/>
  </w:num>
  <w:num w:numId="6">
    <w:abstractNumId w:val="24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20"/>
  </w:num>
  <w:num w:numId="12">
    <w:abstractNumId w:val="22"/>
  </w:num>
  <w:num w:numId="13">
    <w:abstractNumId w:val="12"/>
  </w:num>
  <w:num w:numId="14">
    <w:abstractNumId w:val="1"/>
  </w:num>
  <w:num w:numId="15">
    <w:abstractNumId w:val="25"/>
  </w:num>
  <w:num w:numId="16">
    <w:abstractNumId w:val="21"/>
  </w:num>
  <w:num w:numId="17">
    <w:abstractNumId w:val="16"/>
  </w:num>
  <w:num w:numId="18">
    <w:abstractNumId w:val="5"/>
  </w:num>
  <w:num w:numId="19">
    <w:abstractNumId w:val="3"/>
  </w:num>
  <w:num w:numId="20">
    <w:abstractNumId w:val="0"/>
  </w:num>
  <w:num w:numId="21">
    <w:abstractNumId w:val="7"/>
  </w:num>
  <w:num w:numId="22">
    <w:abstractNumId w:val="19"/>
  </w:num>
  <w:num w:numId="23">
    <w:abstractNumId w:val="10"/>
  </w:num>
  <w:num w:numId="24">
    <w:abstractNumId w:val="23"/>
  </w:num>
  <w:num w:numId="25">
    <w:abstractNumId w:val="1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43CB"/>
    <w:rsid w:val="000E43CB"/>
    <w:rsid w:val="001B5F72"/>
    <w:rsid w:val="001E5FF6"/>
    <w:rsid w:val="00305022"/>
    <w:rsid w:val="003F6F53"/>
    <w:rsid w:val="004B3C7D"/>
    <w:rsid w:val="006E0D0C"/>
    <w:rsid w:val="00773C8B"/>
    <w:rsid w:val="007D3F88"/>
    <w:rsid w:val="008878AC"/>
    <w:rsid w:val="00895771"/>
    <w:rsid w:val="00A84D9B"/>
    <w:rsid w:val="00B9384C"/>
    <w:rsid w:val="00BB66F0"/>
    <w:rsid w:val="00D44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A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D9B"/>
    <w:pPr>
      <w:ind w:left="720"/>
      <w:contextualSpacing/>
    </w:pPr>
  </w:style>
  <w:style w:type="paragraph" w:styleId="NoSpacing">
    <w:name w:val="No Spacing"/>
    <w:uiPriority w:val="1"/>
    <w:qFormat/>
    <w:rsid w:val="001B5F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097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1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52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09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07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63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433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4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8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JMH</dc:creator>
  <cp:keywords/>
  <dc:description/>
  <cp:lastModifiedBy>JMH</cp:lastModifiedBy>
  <cp:revision>5</cp:revision>
  <dcterms:created xsi:type="dcterms:W3CDTF">2009-11-14T17:00:00Z</dcterms:created>
  <dcterms:modified xsi:type="dcterms:W3CDTF">2009-11-14T17:39:00Z</dcterms:modified>
</cp:coreProperties>
</file>